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一标段：郑州懋燮通信息科技有限公司的投标明细：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2005" cy="7439660"/>
            <wp:effectExtent l="0" t="0" r="10795" b="2540"/>
            <wp:docPr id="1" name="图片 1" descr="1706167484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61674845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三标段：河南赢信贸易有限公司的投标明细：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11190" cy="3771265"/>
            <wp:effectExtent l="0" t="0" r="3810" b="635"/>
            <wp:docPr id="2" name="图片 2" descr="1706167638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61676384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19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五标段：中康健（南阳）医疗设备有限公司的投标明细：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725160" cy="7493000"/>
            <wp:effectExtent l="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74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Tk2ZDBiNTgwOTg4YTQ1ZjdlMTE4ZGU3YzcyMzgifQ=="/>
  </w:docVars>
  <w:rsids>
    <w:rsidRoot w:val="00000000"/>
    <w:rsid w:val="2604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2024-01-25T07:21:36Z</dcterms:created>
  <dc:creator>Lenovo</dc:creator>
  <cp:lastModifiedBy>笑丨流年</cp:lastModifiedBy>
  <dcterms:modified xsi:type="dcterms:W3CDTF">2024-01-25T07:29:00Z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1546190D5C3842E0B2D2B71979801E96_12</vt:lpwstr>
  </property>
</Properties>
</file>